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43" w:rsidRDefault="00CF2543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F25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РОССИЙСКАЯ ФЕДЕРАЦИЯ</w:t>
      </w:r>
    </w:p>
    <w:p w:rsidR="00CF2543" w:rsidRDefault="00CF2543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РОСТОВСКАЯ ОБЛАСТЬ</w:t>
      </w:r>
    </w:p>
    <w:p w:rsidR="00CF2543" w:rsidRDefault="00CF2543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НЕКЛИНОВСКИЙ РАЙОН</w:t>
      </w:r>
    </w:p>
    <w:p w:rsidR="00CF2543" w:rsidRDefault="00CF2543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CF2543" w:rsidRPr="00CF2543" w:rsidRDefault="00CF2543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F25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proofErr w:type="spellStart"/>
      <w:r w:rsidRPr="00CF25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Натальевское</w:t>
      </w:r>
      <w:proofErr w:type="spellEnd"/>
      <w:r w:rsidRPr="00CF25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сельское поселение»</w:t>
      </w:r>
    </w:p>
    <w:p w:rsidR="00CF2543" w:rsidRDefault="00CF2543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F25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Администрация </w:t>
      </w:r>
      <w:proofErr w:type="spellStart"/>
      <w:r w:rsidRPr="00CF25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Натальевского</w:t>
      </w:r>
      <w:proofErr w:type="spellEnd"/>
      <w:r w:rsidRPr="00CF25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сельского поселения</w:t>
      </w:r>
    </w:p>
    <w:p w:rsidR="00CF2543" w:rsidRPr="00973E0C" w:rsidRDefault="00CF2543" w:rsidP="00CF2543">
      <w:pPr>
        <w:pBdr>
          <w:bottom w:val="double" w:sz="12" w:space="1" w:color="auto"/>
        </w:pBdr>
        <w:jc w:val="center"/>
        <w:rPr>
          <w:i/>
          <w:sz w:val="24"/>
          <w:szCs w:val="24"/>
        </w:rPr>
      </w:pPr>
    </w:p>
    <w:p w:rsidR="00CF2543" w:rsidRPr="00973E0C" w:rsidRDefault="00CF2543" w:rsidP="00CF2543">
      <w:pPr>
        <w:jc w:val="center"/>
        <w:rPr>
          <w:rFonts w:ascii="Arial" w:hAnsi="Arial"/>
          <w:b/>
          <w:sz w:val="24"/>
          <w:szCs w:val="24"/>
        </w:rPr>
      </w:pPr>
      <w:r w:rsidRPr="00973E0C">
        <w:rPr>
          <w:rFonts w:ascii="Arial" w:hAnsi="Arial"/>
          <w:b/>
          <w:sz w:val="24"/>
          <w:szCs w:val="24"/>
        </w:rPr>
        <w:t>ПОСТАНОВЛЕНИЕ</w:t>
      </w:r>
    </w:p>
    <w:p w:rsidR="00CF2543" w:rsidRPr="00973E0C" w:rsidRDefault="00CF2543" w:rsidP="00CF2543">
      <w:pPr>
        <w:jc w:val="center"/>
        <w:rPr>
          <w:rFonts w:ascii="Times New Roman" w:hAnsi="Times New Roman" w:cs="Times New Roman"/>
          <w:szCs w:val="28"/>
        </w:rPr>
      </w:pPr>
      <w:r w:rsidRPr="00973E0C">
        <w:rPr>
          <w:rFonts w:ascii="Times New Roman" w:hAnsi="Times New Roman" w:cs="Times New Roman"/>
          <w:szCs w:val="28"/>
        </w:rPr>
        <w:t xml:space="preserve">от  </w:t>
      </w:r>
      <w:r w:rsidR="00686E8A">
        <w:rPr>
          <w:rFonts w:ascii="Times New Roman" w:hAnsi="Times New Roman" w:cs="Times New Roman"/>
          <w:szCs w:val="28"/>
        </w:rPr>
        <w:t>_</w:t>
      </w:r>
      <w:r w:rsidR="000A3668">
        <w:rPr>
          <w:rFonts w:ascii="Times New Roman" w:hAnsi="Times New Roman" w:cs="Times New Roman"/>
          <w:szCs w:val="28"/>
        </w:rPr>
        <w:t>17</w:t>
      </w:r>
      <w:r w:rsidR="00686E8A">
        <w:rPr>
          <w:rFonts w:ascii="Times New Roman" w:hAnsi="Times New Roman" w:cs="Times New Roman"/>
          <w:szCs w:val="28"/>
        </w:rPr>
        <w:t>_</w:t>
      </w:r>
      <w:r w:rsidRPr="00973E0C">
        <w:rPr>
          <w:rFonts w:ascii="Times New Roman" w:hAnsi="Times New Roman" w:cs="Times New Roman"/>
          <w:szCs w:val="28"/>
        </w:rPr>
        <w:t>.</w:t>
      </w:r>
      <w:r w:rsidR="00686E8A">
        <w:rPr>
          <w:rFonts w:ascii="Times New Roman" w:hAnsi="Times New Roman" w:cs="Times New Roman"/>
          <w:szCs w:val="28"/>
        </w:rPr>
        <w:t>_</w:t>
      </w:r>
      <w:r w:rsidR="000A3668">
        <w:rPr>
          <w:rFonts w:ascii="Times New Roman" w:hAnsi="Times New Roman" w:cs="Times New Roman"/>
          <w:szCs w:val="28"/>
        </w:rPr>
        <w:t>10</w:t>
      </w:r>
      <w:r w:rsidR="00686E8A">
        <w:rPr>
          <w:rFonts w:ascii="Times New Roman" w:hAnsi="Times New Roman" w:cs="Times New Roman"/>
          <w:szCs w:val="28"/>
        </w:rPr>
        <w:t>__</w:t>
      </w:r>
      <w:r w:rsidRPr="00973E0C">
        <w:rPr>
          <w:rFonts w:ascii="Times New Roman" w:hAnsi="Times New Roman" w:cs="Times New Roman"/>
          <w:szCs w:val="28"/>
        </w:rPr>
        <w:t>.2017 г.  №</w:t>
      </w:r>
      <w:r w:rsidR="00686E8A">
        <w:rPr>
          <w:rFonts w:ascii="Times New Roman" w:hAnsi="Times New Roman" w:cs="Times New Roman"/>
          <w:szCs w:val="28"/>
        </w:rPr>
        <w:t>__</w:t>
      </w:r>
      <w:r w:rsidR="000A3668">
        <w:rPr>
          <w:rFonts w:ascii="Times New Roman" w:hAnsi="Times New Roman" w:cs="Times New Roman"/>
          <w:szCs w:val="28"/>
        </w:rPr>
        <w:t>75</w:t>
      </w:r>
      <w:r w:rsidR="00686E8A">
        <w:rPr>
          <w:rFonts w:ascii="Times New Roman" w:hAnsi="Times New Roman" w:cs="Times New Roman"/>
          <w:szCs w:val="28"/>
        </w:rPr>
        <w:t>__</w:t>
      </w:r>
    </w:p>
    <w:p w:rsidR="00CF2543" w:rsidRPr="00973E0C" w:rsidRDefault="00CF2543" w:rsidP="00CF2543">
      <w:pPr>
        <w:jc w:val="center"/>
        <w:rPr>
          <w:rFonts w:ascii="Times New Roman" w:hAnsi="Times New Roman" w:cs="Times New Roman"/>
          <w:szCs w:val="28"/>
        </w:rPr>
      </w:pPr>
      <w:r w:rsidRPr="00973E0C">
        <w:rPr>
          <w:rFonts w:ascii="Times New Roman" w:hAnsi="Times New Roman" w:cs="Times New Roman"/>
          <w:szCs w:val="28"/>
        </w:rPr>
        <w:t xml:space="preserve">с. </w:t>
      </w:r>
      <w:proofErr w:type="spellStart"/>
      <w:r w:rsidRPr="00973E0C">
        <w:rPr>
          <w:rFonts w:ascii="Times New Roman" w:hAnsi="Times New Roman" w:cs="Times New Roman"/>
          <w:szCs w:val="28"/>
        </w:rPr>
        <w:t>Натальевка</w:t>
      </w:r>
      <w:proofErr w:type="spellEnd"/>
    </w:p>
    <w:p w:rsidR="00953D3E" w:rsidRPr="00973E0C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основных направлениях </w:t>
      </w:r>
    </w:p>
    <w:p w:rsidR="00953D3E" w:rsidRPr="00973E0C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:rsidR="00953D3E" w:rsidRPr="00973E0C" w:rsidRDefault="00CF2543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Натальевского</w:t>
      </w:r>
      <w:proofErr w:type="spellEnd"/>
      <w:r w:rsidRPr="0097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953D3E" w:rsidRPr="0097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 – 2020 годы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184</w:t>
      </w:r>
      <w:r w:rsidRPr="00953D3E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2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статьей </w:t>
      </w:r>
      <w:r w:rsidR="00CF2543">
        <w:rPr>
          <w:rFonts w:ascii="Times New Roman" w:eastAsia="Times New Roman" w:hAnsi="Times New Roman" w:cs="Times New Roman"/>
          <w:sz w:val="28"/>
          <w:szCs w:val="28"/>
          <w:lang w:eastAsia="ru-RU"/>
        </w:rPr>
        <w:t>27 решения Собрания депутатов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 xml:space="preserve">от </w:t>
        </w:r>
        <w:r w:rsidR="00CF2543" w:rsidRPr="006146E3">
          <w:rPr>
            <w:rFonts w:ascii="Times New Roman" w:eastAsia="Times New Roman" w:hAnsi="Times New Roman" w:cs="Times New Roman"/>
            <w:sz w:val="28"/>
            <w:lang w:eastAsia="ru-RU"/>
          </w:rPr>
          <w:t>20</w:t>
        </w:r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>.0</w:t>
        </w:r>
        <w:r w:rsidR="00CF2543" w:rsidRPr="006146E3">
          <w:rPr>
            <w:rFonts w:ascii="Times New Roman" w:eastAsia="Times New Roman" w:hAnsi="Times New Roman" w:cs="Times New Roman"/>
            <w:sz w:val="28"/>
            <w:lang w:eastAsia="ru-RU"/>
          </w:rPr>
          <w:t>7</w:t>
        </w:r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 xml:space="preserve">.2007 № </w:t>
        </w:r>
        <w:r w:rsidR="00CF2543" w:rsidRPr="006146E3">
          <w:rPr>
            <w:rFonts w:ascii="Times New Roman" w:eastAsia="Times New Roman" w:hAnsi="Times New Roman" w:cs="Times New Roman"/>
            <w:sz w:val="28"/>
            <w:lang w:eastAsia="ru-RU"/>
          </w:rPr>
          <w:t>62</w:t>
        </w:r>
      </w:hyperlink>
      <w:r w:rsidRP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бюджетном процессе в </w:t>
      </w:r>
      <w:proofErr w:type="spellStart"/>
      <w:r w:rsidR="00CF2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Натальевском</w:t>
      </w:r>
      <w:proofErr w:type="spellEnd"/>
      <w:r w:rsidR="00CF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постановлением </w:t>
      </w:r>
      <w:r w:rsidR="00CF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F2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CF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>от</w:t>
        </w:r>
        <w:r w:rsidRPr="00953D3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</w:t>
        </w:r>
        <w:r w:rsidR="00973E0C" w:rsidRPr="006146E3">
          <w:rPr>
            <w:rFonts w:ascii="Times New Roman" w:eastAsia="Times New Roman" w:hAnsi="Times New Roman" w:cs="Times New Roman"/>
            <w:sz w:val="28"/>
            <w:lang w:eastAsia="ru-RU"/>
          </w:rPr>
          <w:t>10</w:t>
        </w:r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>.0</w:t>
        </w:r>
        <w:r w:rsidR="00973E0C" w:rsidRPr="006146E3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 xml:space="preserve">.2017 № </w:t>
        </w:r>
        <w:r w:rsidR="00973E0C" w:rsidRPr="006146E3">
          <w:rPr>
            <w:rFonts w:ascii="Times New Roman" w:eastAsia="Times New Roman" w:hAnsi="Times New Roman" w:cs="Times New Roman"/>
            <w:sz w:val="28"/>
            <w:lang w:eastAsia="ru-RU"/>
          </w:rPr>
          <w:t>54</w:t>
        </w:r>
      </w:hyperlink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и сроков составления проекта бюджета </w:t>
      </w:r>
      <w:proofErr w:type="spellStart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Неклиновского</w:t>
      </w:r>
      <w:proofErr w:type="spellEnd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год и на плановый период 2019 и 2020 годов» </w:t>
      </w:r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53D3E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постановляет</w:t>
      </w:r>
      <w:r w:rsidRPr="00953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направления бюджетной и налоговой политики </w:t>
      </w:r>
      <w:proofErr w:type="spellStart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</w:t>
      </w:r>
      <w:r w:rsidRPr="00953D3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2020 годы согласно </w:t>
      </w:r>
      <w:hyperlink r:id="rId6" w:anchor="pril" w:history="1"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>приложению</w:t>
        </w:r>
      </w:hyperlink>
      <w:r w:rsidRP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сектора экономики и финансов администрации </w:t>
      </w:r>
      <w:proofErr w:type="spellStart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Багдасарян Г.Н.</w:t>
      </w:r>
      <w:r w:rsidR="00973E0C" w:rsidRP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E0C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разработку</w:t>
      </w:r>
    </w:p>
    <w:p w:rsidR="00953D3E" w:rsidRPr="00953D3E" w:rsidRDefault="00953D3E" w:rsidP="0097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Неклиновского</w:t>
      </w:r>
      <w:proofErr w:type="spellEnd"/>
      <w:r w:rsidR="009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постановлением.</w:t>
      </w:r>
    </w:p>
    <w:p w:rsidR="00953D3E" w:rsidRPr="00953D3E" w:rsidRDefault="00973E0C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со дня его официального опубликования.</w:t>
      </w:r>
    </w:p>
    <w:p w:rsidR="00953D3E" w:rsidRPr="00953D3E" w:rsidRDefault="00973E0C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="00953D3E" w:rsidRPr="00953D3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 </w:t>
      </w:r>
      <w:proofErr w:type="gramStart"/>
      <w:r w:rsidR="00953D3E" w:rsidRPr="00953D3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="00953D3E" w:rsidRPr="00953D3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оставляю за собой.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D3E" w:rsidRPr="00953D3E" w:rsidRDefault="00973E0C" w:rsidP="00953D3E">
      <w:pPr>
        <w:spacing w:after="0" w:line="240" w:lineRule="auto"/>
        <w:ind w:right="73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53D3E" w:rsidRPr="00953D3E" w:rsidRDefault="00973E0C" w:rsidP="0095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       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А.Г.Чернецкий</w:t>
      </w:r>
      <w:proofErr w:type="spellEnd"/>
    </w:p>
    <w:p w:rsidR="00953D3E" w:rsidRPr="00953D3E" w:rsidRDefault="00953D3E" w:rsidP="0095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right="4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D3E" w:rsidRPr="00973E0C" w:rsidRDefault="00953D3E" w:rsidP="00953D3E">
      <w:pPr>
        <w:spacing w:after="0" w:line="240" w:lineRule="auto"/>
        <w:ind w:right="471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3E0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вносит</w:t>
      </w:r>
    </w:p>
    <w:p w:rsidR="00953D3E" w:rsidRPr="00973E0C" w:rsidRDefault="00973E0C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3E0C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сектор экономики и</w:t>
      </w:r>
      <w:r w:rsidR="00953D3E" w:rsidRPr="00973E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финансов</w:t>
      </w:r>
    </w:p>
    <w:p w:rsidR="00973E0C" w:rsidRPr="00973E0C" w:rsidRDefault="00973E0C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3E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Администрации </w:t>
      </w:r>
      <w:proofErr w:type="spellStart"/>
      <w:r w:rsidRPr="00973E0C">
        <w:rPr>
          <w:rFonts w:ascii="Times New Roman" w:eastAsia="Times New Roman" w:hAnsi="Times New Roman" w:cs="Times New Roman"/>
          <w:sz w:val="16"/>
          <w:szCs w:val="16"/>
          <w:lang w:eastAsia="ru-RU"/>
        </w:rPr>
        <w:t>Натальевского</w:t>
      </w:r>
      <w:proofErr w:type="spellEnd"/>
    </w:p>
    <w:p w:rsidR="00953D3E" w:rsidRPr="00973E0C" w:rsidRDefault="00973E0C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3E0C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</w:t>
      </w:r>
    </w:p>
    <w:p w:rsidR="00973E0C" w:rsidRPr="00953D3E" w:rsidRDefault="00973E0C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D3E" w:rsidRPr="00953D3E" w:rsidRDefault="00953D3E" w:rsidP="00953D3E">
      <w:pPr>
        <w:pageBreakBefore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ril"/>
      <w:bookmarkEnd w:id="0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53D3E" w:rsidRPr="00953D3E" w:rsidRDefault="00953D3E" w:rsidP="00953D3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53D3E" w:rsidRPr="00953D3E" w:rsidRDefault="00973E0C" w:rsidP="00953D3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53D3E" w:rsidRPr="00953D3E" w:rsidRDefault="00973E0C" w:rsidP="00953D3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53D3E" w:rsidRPr="00953D3E" w:rsidRDefault="00973E0C" w:rsidP="00953D3E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668">
        <w:rPr>
          <w:rFonts w:ascii="Times New Roman" w:eastAsia="Times New Roman" w:hAnsi="Times New Roman" w:cs="Times New Roman"/>
          <w:sz w:val="28"/>
          <w:szCs w:val="28"/>
          <w:lang w:eastAsia="ru-RU"/>
        </w:rPr>
        <w:t>_17_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668">
        <w:rPr>
          <w:rFonts w:ascii="Times New Roman" w:eastAsia="Times New Roman" w:hAnsi="Times New Roman" w:cs="Times New Roman"/>
          <w:sz w:val="28"/>
          <w:szCs w:val="28"/>
          <w:lang w:eastAsia="ru-RU"/>
        </w:rPr>
        <w:t>_10_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</w:t>
      </w:r>
      <w:r w:rsidR="000A366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и налоговой политики </w:t>
      </w:r>
      <w:proofErr w:type="spellStart"/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D3E" w:rsidRPr="00953D3E" w:rsidRDefault="00C213E1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 – 2020 годы 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01.12.2016, указов Президента Российской Федерации, проекта основных направлений бюджетной, налоговой и </w:t>
      </w:r>
      <w:proofErr w:type="spell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таможенно-тарифной</w:t>
      </w:r>
      <w:proofErr w:type="spell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на 2018 год и на плановый период 2019 и 2020 годов, рассмотренных на парламентских слушаниях в Государственной Думе Российской Федерации 18.07.2017.</w:t>
      </w:r>
      <w:proofErr w:type="gramEnd"/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Основные итоги реализации бюджетной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 политики в 2016 году и в I полугодии 2017 г.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политика, проводимая </w:t>
      </w:r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ориентирована на эффективное, ответственное и прозрачное управление государственными финансами, что является базовым условием для устойчивого развития экономики </w:t>
      </w:r>
      <w:proofErr w:type="spellStart"/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стабильности.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2016 года обеспечена положительная динамика роста доходов бюджета </w:t>
      </w:r>
      <w:proofErr w:type="spellStart"/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доходов составил </w:t>
      </w:r>
      <w:r w:rsidR="00004D9D">
        <w:rPr>
          <w:rFonts w:ascii="Times New Roman" w:eastAsia="Times New Roman" w:hAnsi="Times New Roman" w:cs="Times New Roman"/>
          <w:sz w:val="28"/>
          <w:szCs w:val="28"/>
          <w:lang w:eastAsia="ru-RU"/>
        </w:rPr>
        <w:t>11805,1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рублей, с ростом относительно уровня 2015 года – на </w:t>
      </w:r>
      <w:r w:rsidR="00004D9D">
        <w:rPr>
          <w:rFonts w:ascii="Times New Roman" w:eastAsia="Times New Roman" w:hAnsi="Times New Roman" w:cs="Times New Roman"/>
          <w:sz w:val="28"/>
          <w:szCs w:val="28"/>
          <w:lang w:eastAsia="ru-RU"/>
        </w:rPr>
        <w:t>471,4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D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рублей, или на </w:t>
      </w:r>
      <w:r w:rsidR="00004D9D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составили </w:t>
      </w:r>
      <w:r w:rsidR="00004D9D">
        <w:rPr>
          <w:rFonts w:ascii="Times New Roman" w:eastAsia="Times New Roman" w:hAnsi="Times New Roman" w:cs="Times New Roman"/>
          <w:sz w:val="28"/>
          <w:szCs w:val="28"/>
          <w:lang w:eastAsia="ru-RU"/>
        </w:rPr>
        <w:t>11455,2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D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 результатам исполнения сложился </w:t>
      </w:r>
      <w:proofErr w:type="spell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 </w:t>
      </w:r>
      <w:r w:rsidR="00004D9D">
        <w:rPr>
          <w:rFonts w:ascii="Times New Roman" w:eastAsia="Times New Roman" w:hAnsi="Times New Roman" w:cs="Times New Roman"/>
          <w:sz w:val="28"/>
          <w:szCs w:val="28"/>
          <w:lang w:eastAsia="ru-RU"/>
        </w:rPr>
        <w:t>349,9 тыс.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Среднедушевой бюджетный доход на жителя </w:t>
      </w:r>
      <w:proofErr w:type="spellStart"/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C2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004D9D" w:rsidRPr="00004D9D">
        <w:rPr>
          <w:rFonts w:ascii="Times New Roman" w:eastAsia="Times New Roman" w:hAnsi="Times New Roman" w:cs="Times New Roman"/>
          <w:sz w:val="28"/>
          <w:szCs w:val="28"/>
          <w:lang w:eastAsia="ru-RU"/>
        </w:rPr>
        <w:t>40,9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рублей.</w:t>
      </w:r>
    </w:p>
    <w:p w:rsid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доходными источниками бюджета </w:t>
      </w:r>
      <w:proofErr w:type="spellStart"/>
      <w:r w:rsidR="00004D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00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 собственные доходы. Их объем составил </w:t>
      </w:r>
      <w:r w:rsidR="00503EF2">
        <w:rPr>
          <w:rFonts w:ascii="Times New Roman" w:eastAsia="Times New Roman" w:hAnsi="Times New Roman" w:cs="Times New Roman"/>
          <w:sz w:val="28"/>
          <w:szCs w:val="28"/>
          <w:lang w:eastAsia="ru-RU"/>
        </w:rPr>
        <w:t>4976,9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3E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503EF2">
        <w:rPr>
          <w:rFonts w:ascii="Times New Roman" w:eastAsia="Times New Roman" w:hAnsi="Times New Roman" w:cs="Times New Roman"/>
          <w:sz w:val="28"/>
          <w:szCs w:val="28"/>
          <w:lang w:eastAsia="ru-RU"/>
        </w:rPr>
        <w:t>43,9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 всех поступлений в бюджет </w:t>
      </w:r>
      <w:proofErr w:type="spellStart"/>
      <w:r w:rsidR="00503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50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ростом к уровню 2015 года – на </w:t>
      </w:r>
      <w:r w:rsidR="00503EF2">
        <w:rPr>
          <w:rFonts w:ascii="Times New Roman" w:eastAsia="Times New Roman" w:hAnsi="Times New Roman" w:cs="Times New Roman"/>
          <w:sz w:val="28"/>
          <w:szCs w:val="28"/>
          <w:lang w:eastAsia="ru-RU"/>
        </w:rPr>
        <w:t>404,3 тыс.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 </w:t>
      </w:r>
      <w:r w:rsidR="00720F29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E1C0F" w:rsidRPr="00953D3E" w:rsidRDefault="006E1C0F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финансовой помощи в доходах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увеличилась  к уровню прошлого года на  2,5 процента. Дотации из областного бюджета в доходах составили 5523,1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Бюджетная политика в сфере бюджетных расходов была направлена на решение социальных и экономических задач </w:t>
      </w:r>
      <w:proofErr w:type="spellStart"/>
      <w:r w:rsidR="00720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72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является обеспечение расходов в социальной сфере. Расходы на образование, социальную политику, культуру</w:t>
      </w:r>
      <w:r w:rsidR="006E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в 2016 году составили </w:t>
      </w:r>
      <w:r w:rsidR="006E1C0F">
        <w:rPr>
          <w:rFonts w:ascii="Times New Roman" w:eastAsia="Times New Roman" w:hAnsi="Times New Roman" w:cs="Times New Roman"/>
          <w:sz w:val="28"/>
          <w:szCs w:val="28"/>
          <w:lang w:eastAsia="ru-RU"/>
        </w:rPr>
        <w:t>4190,3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1C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6E1C0F">
        <w:rPr>
          <w:rFonts w:ascii="Times New Roman" w:eastAsia="Times New Roman" w:hAnsi="Times New Roman" w:cs="Times New Roman"/>
          <w:sz w:val="28"/>
          <w:szCs w:val="28"/>
          <w:lang w:eastAsia="ru-RU"/>
        </w:rPr>
        <w:t>35,5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 всех расходов бюджета</w:t>
      </w:r>
      <w:r w:rsidR="006E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1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6E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обеспечена реализация </w:t>
      </w:r>
      <w:r w:rsidR="006E1C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программы. На эти цели направлено 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10276,3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87,0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всех расходов бюджета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I полугодия 2017 г. исполнение бюджета </w:t>
      </w:r>
      <w:proofErr w:type="spellStart"/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составило: по доходам – 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3971,2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рублей, или 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43,2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 к годовому плану, по расходам – 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3877,2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36,1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 к годовому плану. </w:t>
      </w:r>
    </w:p>
    <w:p w:rsidR="00953D3E" w:rsidRPr="00953D3E" w:rsidRDefault="00A83F60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953D3E" w:rsidRPr="006146E3">
          <w:rPr>
            <w:rFonts w:ascii="Times New Roman" w:eastAsia="Times New Roman" w:hAnsi="Times New Roman" w:cs="Times New Roman"/>
            <w:sz w:val="28"/>
            <w:lang w:eastAsia="ru-RU"/>
          </w:rPr>
          <w:t xml:space="preserve">от 16.06.2017 № </w:t>
        </w:r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>56</w:t>
        </w:r>
      </w:hyperlink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План мероприятий по устранению с 1 января 2018 г. неэффективных льгот (пониженных ставок по налогам), установленных законодательством Ростовской области о налогах и сборах.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Плана проведена комплексная оценка эффективности действующих на территории </w:t>
      </w:r>
      <w:proofErr w:type="spellStart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 (пониженных ставок по налогам), результаты заслушаны на заседании </w:t>
      </w:r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 </w:t>
      </w:r>
      <w:proofErr w:type="spellStart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3D3E" w:rsidRPr="00953D3E" w:rsidRDefault="00A83F60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обеспечения роста собственных доходов разработан и утвержден План мероприятий («дорожная карта») по увеличению поступлений налоговых и неналоговых доходов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2017 – 2019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от10.08.2017 г.№70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взаимодействие с организациями и предприятиями </w:t>
      </w: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алогоплательщиками </w:t>
      </w:r>
      <w:proofErr w:type="spellStart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Бюджетная политика реализуется с учетом выполнения основных задач по обеспечению устойчивости и сбалансированности бюджета </w:t>
      </w:r>
      <w:proofErr w:type="spellStart"/>
      <w:r w:rsidR="00A83F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Натальевского</w:t>
      </w:r>
      <w:proofErr w:type="spellEnd"/>
      <w:r w:rsidR="00A83F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целях продолжено выполнение Плана мероприятий по оздоровлению государственных финансов, включая мероприятия, направленные на рост доходов, оптимизацию расходов, а также сокращение </w:t>
      </w:r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в </w:t>
      </w:r>
      <w:proofErr w:type="spellStart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Натальевском</w:t>
      </w:r>
      <w:proofErr w:type="spellEnd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2017 года, утвержденного </w:t>
      </w:r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.11.2013 № </w:t>
      </w:r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уточненного плана первоочередных мероприятий по обеспечению устойчивого развития экономики и социальной стабильности в </w:t>
      </w:r>
      <w:proofErr w:type="spellStart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Натальевском</w:t>
      </w:r>
      <w:proofErr w:type="spellEnd"/>
      <w:r w:rsidR="00A8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году.</w:t>
      </w:r>
      <w:proofErr w:type="gramEnd"/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интернет-сайте </w:t>
      </w:r>
      <w:proofErr w:type="spellStart"/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146E3" w:rsidRP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6E3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брошюры «Бюджет для граждан» </w:t>
      </w:r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6E3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Натальевском</w:t>
      </w:r>
      <w:proofErr w:type="spellEnd"/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</w:t>
      </w:r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внутреннего финансового контроля, охватывающая все этапы бюджетного процесса: планирование бюджетных расходов, размещение заказов для государственных и муниципальных нужд, санкционирование оплаты денежных обязательств, фактическое исполнение бюджета.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Основные цели и задачи бюджетной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 политики на 2018 – 2020 годы</w:t>
      </w:r>
    </w:p>
    <w:p w:rsidR="00953D3E" w:rsidRPr="00953D3E" w:rsidRDefault="00953D3E" w:rsidP="00953D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взятой за основу в 2017 году бюджетной политики. Первоочередными задачами на 2018 – 2020 годы будут являться предсказуемость и устойчивость бюджетной системы, качественное и эффективное государственное управление, стабильность налоговых и неналоговых условий, инвестирование в человеческий капитал.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</w:t>
      </w:r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налоговой политики будет являться создание благоприятных условий для осуществления предпринимательской и инвестиционной деятельности как основного источника обеспечения наполняемости областного бюджета собственными доходами в полном объеме.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управление расходами будет обеспечиваться посредством реализации </w:t>
      </w:r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proofErr w:type="spellStart"/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учтены все приоритеты развития социальной сферы,  коммунальной инфраструктуры, обеспечение жильем отдельных категорий граждан и другие направления.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предстоящем периоде продолжится работа по повышению качества и эффективности реализации </w:t>
      </w:r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как основного инструмента интеграции стратегического </w:t>
      </w:r>
      <w:proofErr w:type="spell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бюджетного планирования и операционного управления.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при исполнении бюджета будет уделено операционной эффективности бюджетных расходов. Это – безусловное соблюдение бюджетного законодательства и законодательства в сфере закупок, своевременность заключения </w:t>
      </w:r>
      <w:r w:rsidR="00BB1A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контрактов,  обеспечение контроля на всех этапах исполнения бюджета.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для обеспечения устойчивого и сбалансированного исполнения бюджета: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поступлений налоговых и неналоговых доходов;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бюджетных расходов;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межбюджетных отношений</w:t>
      </w: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долговой нагрузки;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(исполнение) бюджета с соблюдением ограничений по объему дефицита бюджета</w:t>
      </w: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Совершенствование нормативно-правового регулирования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процесса и налоговой политики Ростовской области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регулирование бюджетного процесса будет осуществляться с учетом изменения бюджетного законодательства на 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дальнейшего совершенствования межбюджетного регулирования на региональном и местном уровнях планируется принятие ряда положений бюджетного законодательства, расширяющих и уточняющих бюджетные полномочия публично-правовых образований в данной сфере, регулирующих вопросы предоставления межбюджетных трансфертов (форм, условий, порядков предоставления), введения ограничений, связанных с предоставлением межбюджетных трансфертов и </w:t>
      </w: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соблюдением.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Соглашения о предоставлении дотации на выравнивание бюджетной обеспеченности субъектов Российской Федерации из федерального бюджета бюджету </w:t>
      </w:r>
      <w:proofErr w:type="spellStart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</w:t>
      </w:r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 xml:space="preserve">от </w:t>
        </w:r>
        <w:r w:rsidR="006146E3" w:rsidRPr="006146E3">
          <w:rPr>
            <w:rFonts w:ascii="Times New Roman" w:eastAsia="Times New Roman" w:hAnsi="Times New Roman" w:cs="Times New Roman"/>
            <w:sz w:val="28"/>
            <w:lang w:eastAsia="ru-RU"/>
          </w:rPr>
          <w:t>17</w:t>
        </w:r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>.0</w:t>
        </w:r>
        <w:r w:rsidR="006146E3" w:rsidRPr="006146E3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  <w:r w:rsidRPr="006146E3">
          <w:rPr>
            <w:rFonts w:ascii="Times New Roman" w:eastAsia="Times New Roman" w:hAnsi="Times New Roman" w:cs="Times New Roman"/>
            <w:sz w:val="28"/>
            <w:lang w:eastAsia="ru-RU"/>
          </w:rPr>
          <w:t xml:space="preserve">.2017 № </w:t>
        </w:r>
        <w:r w:rsidR="006146E3" w:rsidRPr="006146E3">
          <w:rPr>
            <w:rFonts w:ascii="Times New Roman" w:eastAsia="Times New Roman" w:hAnsi="Times New Roman" w:cs="Times New Roman"/>
            <w:sz w:val="28"/>
            <w:lang w:eastAsia="ru-RU"/>
          </w:rPr>
          <w:t>35</w:t>
        </w:r>
      </w:hyperlink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оптимизации расходов бюджета </w:t>
      </w:r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– 2019 годы».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953D3E">
        <w:rPr>
          <w:rFonts w:ascii="Times New Roman" w:eastAsia="Times New Roman" w:hAnsi="Times New Roman" w:cs="Times New Roman"/>
          <w:spacing w:val="-6"/>
          <w:sz w:val="19"/>
          <w:szCs w:val="19"/>
          <w:vertAlign w:val="superscript"/>
          <w:lang w:eastAsia="ru-RU"/>
        </w:rPr>
        <w:t>2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Правительством Ростовской области утвержден Порядок формирования, ведения и утверждения регионального перечня (классификатора) государственных (муниципальных) услуг, не включенных в</w:t>
      </w:r>
      <w:proofErr w:type="gram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общероссийские базовые (отраслевые) перечни (классификаторы) государственных и муниципальных услуг, и работ.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нормативной правовой базы по вопросам налогообложения будет направлено на обеспечение стабильности и предсказуемости условий ведения экономической деятельности на территории </w:t>
      </w:r>
      <w:proofErr w:type="spellStart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обеспечение равных конкурентных условий для различных групп экономических агентов.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налоговой политики является совершенствование налогообложения имущества, в связи с чем </w:t>
      </w:r>
      <w:proofErr w:type="spellStart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Натальевское</w:t>
      </w:r>
      <w:proofErr w:type="spellEnd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 января 2018 г. переходит на исчисление </w:t>
      </w: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</w:t>
      </w:r>
      <w:proofErr w:type="gram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 исходя из кадастровой стоимости объектов налогообложения.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внедрения на федеральном</w:t>
      </w: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</w:t>
      </w:r>
      <w:r w:rsid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районном </w:t>
      </w:r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единого механизма анализа объемов налоговых льгот и оценки их эффективности будет пересмотрен действующий в порядок оценки налоговых льгот</w:t>
      </w:r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F4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Меры, предусмотренные нормативными правовыми актами </w:t>
      </w:r>
      <w:proofErr w:type="spellStart"/>
      <w:r w:rsidR="00F31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F3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направленные на стимулирование экономического развития, увеличение налоговой базы и собираемости налогов в бюджет </w:t>
      </w:r>
      <w:proofErr w:type="spellStart"/>
      <w:r w:rsidR="00F31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F3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будут усовершенствованы.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Приоритеты бюджетных расходов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бюджетной политики в сфере расходов, как и в прошлые годы, будут инвестиции в человеческий капитал, предоставление качественных и конкурентных государственных услуг на основе целей и задач, определенных указами Президента Российской Федерации и Стратегией социально-экономического развития Ростовской области на период до 2020 года.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приоритетных задач государственной политики – сохранение достигнутых в 2018 году показателей, установленных указами Президента Российской Федерации от 07.05.2012 №</w:t>
      </w:r>
      <w:r w:rsidRPr="00953D3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597 – 602, 606, от 01.06.2012 № 761, от 28.12.2012 № 1688 (далее – указы Президента Российской Федерации).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достижения с 1 января 2018 г. целевых показателей, установленных в указах Президента Российской Федерации, дополнительные средства для повышения заработной платы отдельных категорий работников социальной сферы в 2018 – 2020 годах будут предусмотрены в полном объеме в составе расходов главных распорядителей средств бюджета </w:t>
      </w:r>
      <w:r w:rsidR="00F3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1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F3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фонд оплаты труда. </w:t>
      </w:r>
      <w:proofErr w:type="gramEnd"/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принятым Федеральным законом от 19.12.2016 № 460-ФЗ «О внесении изменения в статью 1 Федерального закона «О минимальном размере оплаты труда» будет предусмотрено повышение расходов на заработную плату низкооплачиваемых работников в связи с ее доведением до минимального размера оплаты труда. </w:t>
      </w:r>
      <w:proofErr w:type="gramEnd"/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с 1 января 2018 г. в соответствии с изменениями, внесенными в налоговое законодательство Федеральным законом от 30.11.2016 № 401-ФЗ «О внесении изменений в части первую и вторую Налогового кодекса Российской Федерации и отдельные законодательные акты Российской Федерации», движимое имущество, принятое с 1 января 2013 г. на учет в качестве основных средств, подлежит налогообложению налогом на имущество организаций, будут увеличены</w:t>
      </w:r>
      <w:proofErr w:type="gram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уплату данного налога государственными учреждениями Ростовской области.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953D3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оптимизация структуры бюджетных расходов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учетом их оптимизации и повышения эффективности использования финансовых ресурсов.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эффективного использования средств областного бюджета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непрерывности внутреннего государственного финансового контроля на всех этапах бюджетного процесса;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контроля и регулирования контрактной системы в сфере закупок товаров, работ, услуг для обеспечения государственных и муниципальных нужд с учетом подходов и принципов, принятых на федеральном уровне;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закупок для государственных нужд;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мер социальной поддержки;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расходов бюджета</w:t>
      </w:r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направляемых </w:t>
      </w:r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 учреждениям </w:t>
      </w:r>
      <w:proofErr w:type="spellStart"/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субсидий на оказание </w:t>
      </w:r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межбюджетных отношений;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Основные подходы 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формированию межбюджетных отношений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сфере межбюджетных отношений в 2018 – 2020 годах будет сосредоточена на решении следующих задач: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сбалансированности местн</w:t>
      </w:r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бюджетных расходов;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ответственности за использование бюджетных средств.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сбалансированности бюджет</w:t>
      </w:r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планового периода будет продолжено применение мер, направленных на ограничение дефицитов и уровня муниципального долга, обеспечение экономического развития.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этих целях в соответствии с положениями бюджетного законодательства будут заключены соглашения о предоставлении дотаций на выравнивание бюджетной обеспеченности</w:t>
      </w: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включающие в себя обязательства по соблюдению бюджетных ограничений, меры, направленные на рост налоговых и неналоговых доходов, социально-экономическое развитие </w:t>
      </w:r>
      <w:proofErr w:type="spellStart"/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4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отказ от предоставления неэффективных налоговых льгот по местным налогам, а также меры ответственности за нарушение этих обязательств.</w:t>
      </w:r>
    </w:p>
    <w:p w:rsidR="00953D3E" w:rsidRPr="00953D3E" w:rsidRDefault="004D59FA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дальнейшего совершенствования межбюджетного регулирования планируется ряд изменений в порядок расчета межбюджетных трансфертов, в том числе дотаций на выравнивание бюджетной обеспеченности, исходя из готовящихся на федеральном уровне изменений положений Бюджетного кодекса Российской Федерации.</w:t>
      </w:r>
    </w:p>
    <w:p w:rsidR="00953D3E" w:rsidRPr="00953D3E" w:rsidRDefault="004D59FA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53D3E"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местных бюджетов на 2018 – 2020 годы необходимо исходить из обеспечения принятия реалистичных бюджетов и повышения качества бюджетного планирования.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Повышение прозрачности </w:t>
      </w:r>
    </w:p>
    <w:p w:rsidR="00953D3E" w:rsidRPr="00953D3E" w:rsidRDefault="00953D3E" w:rsidP="0095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открытости бюджетного процесса</w:t>
      </w:r>
    </w:p>
    <w:p w:rsidR="00953D3E" w:rsidRPr="00953D3E" w:rsidRDefault="00953D3E" w:rsidP="00953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продолжено проведение публичных слушаний по проектам </w:t>
      </w:r>
      <w:r w:rsid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Собрания депутатов </w:t>
      </w:r>
      <w:proofErr w:type="spellStart"/>
      <w:r w:rsid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="0061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</w:t>
      </w: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и об </w:t>
      </w:r>
      <w:proofErr w:type="gramStart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бюджета, а также размещение брошюры «Бюджет для граждан» в информационно-телекоммуникационной сети «Интернет». </w:t>
      </w:r>
    </w:p>
    <w:p w:rsidR="00953D3E" w:rsidRPr="00953D3E" w:rsidRDefault="00953D3E" w:rsidP="0095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953D3E" w:rsidRPr="00953D3E" w:rsidRDefault="00953D3E" w:rsidP="0095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ind w:right="5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D3E" w:rsidRPr="00953D3E" w:rsidRDefault="00953D3E" w:rsidP="0095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D3E" w:rsidRPr="00953D3E" w:rsidRDefault="00953D3E" w:rsidP="0095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"/>
      </w:tblGrid>
      <w:tr w:rsidR="00953D3E" w:rsidRPr="00953D3E" w:rsidTr="00953D3E">
        <w:trPr>
          <w:tblCellSpacing w:w="15" w:type="dxa"/>
        </w:trPr>
        <w:tc>
          <w:tcPr>
            <w:tcW w:w="51" w:type="dxa"/>
            <w:vAlign w:val="center"/>
            <w:hideMark/>
          </w:tcPr>
          <w:p w:rsidR="00953D3E" w:rsidRPr="00953D3E" w:rsidRDefault="00953D3E" w:rsidP="0095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2DC" w:rsidRDefault="001252DC"/>
    <w:sectPr w:rsidR="001252DC" w:rsidSect="0012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53D3E"/>
    <w:rsid w:val="00004D9D"/>
    <w:rsid w:val="00075CF8"/>
    <w:rsid w:val="000A3668"/>
    <w:rsid w:val="001252DC"/>
    <w:rsid w:val="00237921"/>
    <w:rsid w:val="002F352A"/>
    <w:rsid w:val="004D59FA"/>
    <w:rsid w:val="00503EF2"/>
    <w:rsid w:val="0052174E"/>
    <w:rsid w:val="005A1E75"/>
    <w:rsid w:val="006146E3"/>
    <w:rsid w:val="00647409"/>
    <w:rsid w:val="00686E8A"/>
    <w:rsid w:val="006E1C0F"/>
    <w:rsid w:val="00720F29"/>
    <w:rsid w:val="00953D3E"/>
    <w:rsid w:val="00973E0C"/>
    <w:rsid w:val="00A062EA"/>
    <w:rsid w:val="00A83F60"/>
    <w:rsid w:val="00B72529"/>
    <w:rsid w:val="00BB1AAA"/>
    <w:rsid w:val="00C213E1"/>
    <w:rsid w:val="00CF2543"/>
    <w:rsid w:val="00D44097"/>
    <w:rsid w:val="00EB4579"/>
    <w:rsid w:val="00F315B1"/>
    <w:rsid w:val="00F4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DC"/>
  </w:style>
  <w:style w:type="paragraph" w:styleId="1">
    <w:name w:val="heading 1"/>
    <w:basedOn w:val="a"/>
    <w:link w:val="10"/>
    <w:uiPriority w:val="9"/>
    <w:qFormat/>
    <w:rsid w:val="00953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3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3D3E"/>
    <w:rPr>
      <w:color w:val="0000FF"/>
      <w:u w:val="single"/>
    </w:rPr>
  </w:style>
  <w:style w:type="paragraph" w:customStyle="1" w:styleId="description">
    <w:name w:val="description"/>
    <w:basedOn w:val="a"/>
    <w:rsid w:val="0095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5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F25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0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b-utverzhdenii-Programmy-optimizacii-raskhodov-oblastnogo-byudzheta-na-2017-%E2%80%93-2019-gody?pageid=128483&amp;mid=134977&amp;itemId=254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ocuments/Ob-utverzhdenii-Plana-meropriyatijj-po-ustraneniyu-s-1-yanvarya-2018-g-neehffektivnykh-lgot-ponizhennykh-stavok-po-nalogam-ustanovlennykh-za?pageid=128483&amp;mid=134977&amp;itemId=258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ocuments/Ob-osnovnykh-napravleniyakh-byudzhetnojj-i-nalogovojj-politiki-Rostovskojj-oblasti-na-2018-%E2%80%93-2020-gody?pageid=128483&amp;mid=134977&amp;itemId=26276" TargetMode="External"/><Relationship Id="rId5" Type="http://schemas.openxmlformats.org/officeDocument/2006/relationships/hyperlink" Target="http://www.donland.ru/documents/Ob-utverzhdenii-Poryadka-i-srokov-sostavleniya-proekta-oblastnogo-byudzheta-na-2018-god-i-na-planovyjj-period-2019-i-2020-godov?pageid=128483&amp;mid=134977&amp;itemId=2579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onland.ru/documents/O-byudzhetnom-processe-v-Rostovskojj-oblasti?pageid=128483&amp;mid=134977&amp;itemId=18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2017-10-19T05:43:00Z</cp:lastPrinted>
  <dcterms:created xsi:type="dcterms:W3CDTF">2017-10-19T05:41:00Z</dcterms:created>
  <dcterms:modified xsi:type="dcterms:W3CDTF">2017-10-19T05:46:00Z</dcterms:modified>
</cp:coreProperties>
</file>