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  <w:r>
        <w:t xml:space="preserve">Таблица изменений </w:t>
      </w:r>
    </w:p>
    <w:p w14:paraId="02000000">
      <w:pPr>
        <w:ind/>
        <w:jc w:val="center"/>
      </w:pPr>
      <w:r>
        <w:t xml:space="preserve">к </w:t>
      </w:r>
      <w:r>
        <w:t xml:space="preserve"> </w:t>
      </w:r>
      <w:r>
        <w:t>Решени</w:t>
      </w:r>
      <w:r>
        <w:t xml:space="preserve">ю </w:t>
      </w:r>
      <w:r>
        <w:t xml:space="preserve">Собрания депутатов </w:t>
      </w:r>
      <w:r>
        <w:t>Натальевского</w:t>
      </w:r>
      <w:r>
        <w:t xml:space="preserve"> сельского поселения</w:t>
      </w:r>
    </w:p>
    <w:p w14:paraId="03000000">
      <w:pPr>
        <w:ind/>
        <w:jc w:val="center"/>
      </w:pPr>
      <w:r>
        <w:t xml:space="preserve"> </w:t>
      </w:r>
      <w:r>
        <w:t>«О бюджете</w:t>
      </w:r>
      <w:r>
        <w:t xml:space="preserve"> </w:t>
      </w:r>
      <w:r>
        <w:t>Натальевского</w:t>
      </w:r>
      <w:r>
        <w:t xml:space="preserve"> сельского поселения</w:t>
      </w:r>
      <w:r>
        <w:t xml:space="preserve"> </w:t>
      </w:r>
      <w:r>
        <w:t xml:space="preserve">Неклиновского района </w:t>
      </w:r>
      <w:r>
        <w:t>на 20</w:t>
      </w:r>
      <w:r>
        <w:t>2</w:t>
      </w:r>
      <w:r>
        <w:t>4</w:t>
      </w:r>
      <w:r>
        <w:t xml:space="preserve"> </w:t>
      </w:r>
      <w:r>
        <w:t>год</w:t>
      </w:r>
      <w:r>
        <w:t xml:space="preserve"> </w:t>
      </w:r>
      <w:r>
        <w:t xml:space="preserve"> и на плановый период 20</w:t>
      </w:r>
      <w:r>
        <w:t>2</w:t>
      </w:r>
      <w:r>
        <w:t>5</w:t>
      </w:r>
      <w:r>
        <w:t xml:space="preserve"> и 20</w:t>
      </w:r>
      <w:r>
        <w:t>2</w:t>
      </w:r>
      <w:r>
        <w:t>6</w:t>
      </w:r>
      <w:r>
        <w:t xml:space="preserve"> </w:t>
      </w:r>
      <w:r>
        <w:t>годов</w:t>
      </w:r>
      <w:r>
        <w:t>»</w:t>
      </w:r>
      <w:r>
        <w:t xml:space="preserve"> </w:t>
      </w:r>
    </w:p>
    <w:p w14:paraId="04000000">
      <w:pPr>
        <w:ind/>
        <w:jc w:val="center"/>
      </w:pPr>
    </w:p>
    <w:p w14:paraId="05000000">
      <w:pPr>
        <w:ind/>
        <w:jc w:val="both"/>
      </w:pPr>
      <w:r>
        <w:tab/>
      </w:r>
      <w:r>
        <w:tab/>
      </w:r>
      <w:r>
        <w:t>Б</w:t>
      </w:r>
      <w:r>
        <w:t>юджет Натальевского сельского поселения на 20</w:t>
      </w:r>
      <w:r>
        <w:t>2</w:t>
      </w:r>
      <w:r>
        <w:t>5</w:t>
      </w:r>
      <w:r>
        <w:t xml:space="preserve"> год по доходам  составляет </w:t>
      </w:r>
      <w:r>
        <w:t>11916,2</w:t>
      </w:r>
      <w:r>
        <w:t xml:space="preserve"> тыс. рублей,    по расходам </w:t>
      </w:r>
      <w:r>
        <w:t>11916,2</w:t>
      </w:r>
      <w:r>
        <w:t xml:space="preserve"> тыс. рублей .  Дефицит бюджета поселения составляет 0,0 тыс. рублей. </w:t>
      </w:r>
    </w:p>
    <w:p w14:paraId="06000000">
      <w:pPr>
        <w:ind/>
        <w:jc w:val="both"/>
      </w:pPr>
      <w:r>
        <w:t>Д</w:t>
      </w:r>
      <w:r>
        <w:t>анные</w:t>
      </w:r>
      <w:r>
        <w:t xml:space="preserve"> </w:t>
      </w:r>
      <w:r>
        <w:t>по бюджету</w:t>
      </w:r>
      <w:r>
        <w:t xml:space="preserve"> </w:t>
      </w:r>
      <w:r>
        <w:t>приведены в нижеследующей таблице.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070"/>
        <w:gridCol w:w="1842"/>
        <w:gridCol w:w="1701"/>
        <w:gridCol w:w="2127"/>
        <w:gridCol w:w="4965"/>
      </w:tblGrid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ind/>
              <w:jc w:val="both"/>
            </w:pPr>
            <w:r>
              <w:t>Наименование показателей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ind/>
              <w:jc w:val="center"/>
            </w:pPr>
            <w:r>
              <w:t xml:space="preserve">Учтено в </w:t>
            </w:r>
            <w:r>
              <w:t xml:space="preserve">1 чтении о </w:t>
            </w:r>
            <w:r>
              <w:t>бюджете</w:t>
            </w:r>
          </w:p>
          <w:p w14:paraId="09000000">
            <w:pPr>
              <w:ind/>
              <w:jc w:val="center"/>
            </w:pPr>
            <w:r>
              <w:t>тыс.руб.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ind/>
              <w:jc w:val="center"/>
            </w:pPr>
            <w:r>
              <w:t>Изменения</w:t>
            </w:r>
          </w:p>
          <w:p w14:paraId="0B000000">
            <w:pPr>
              <w:ind/>
              <w:jc w:val="center"/>
            </w:pPr>
            <w:r>
              <w:t>тыс. руб.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ind/>
              <w:jc w:val="center"/>
            </w:pPr>
            <w:r>
              <w:t xml:space="preserve">Учтено </w:t>
            </w:r>
            <w:r>
              <w:t>с</w:t>
            </w:r>
            <w:r>
              <w:t xml:space="preserve"> </w:t>
            </w:r>
            <w:r>
              <w:t>изменениям</w:t>
            </w:r>
            <w:r>
              <w:t>и</w:t>
            </w:r>
          </w:p>
          <w:p w14:paraId="0D000000">
            <w:pPr>
              <w:ind/>
              <w:jc w:val="center"/>
            </w:pPr>
            <w:r>
              <w:t>тыс. руб.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</w:pPr>
            <w:r>
              <w:t>Причины изменения</w:t>
            </w:r>
          </w:p>
        </w:tc>
      </w:tr>
      <w:tr>
        <w:trPr>
          <w:trHeight w:hRule="atLeast" w:val="200"/>
          <w:hidden w:val="0"/>
        </w:trP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ДОХОДЫ, всего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11857,0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</w:t>
            </w:r>
            <w:r>
              <w:rPr>
                <w:b w:val="1"/>
              </w:rPr>
              <w:t>59,2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11916,2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2"/>
            </w:pPr>
            <w:r>
              <w:t>Доходы</w:t>
            </w:r>
            <w:r>
              <w:t xml:space="preserve"> собственные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3989,5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</w:t>
            </w:r>
            <w:r>
              <w:rPr>
                <w:b w:val="1"/>
              </w:rPr>
              <w:t>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3989,5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795,4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795,4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597,0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597,0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559,1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559,1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2035,4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2035,4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2,6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Безвозмездные поступления</w:t>
            </w:r>
            <w:r>
              <w:rPr>
                <w:b w:val="1"/>
              </w:rPr>
              <w:t>, всего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7867,5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</w:t>
            </w:r>
            <w:r>
              <w:rPr>
                <w:b w:val="1"/>
              </w:rPr>
              <w:t>59,2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7926,7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7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Дотация</w:t>
            </w:r>
            <w:r>
              <w:rPr>
                <w:b w:val="1"/>
              </w:rPr>
              <w:t xml:space="preserve"> бюджетам сельских поселений на выравнивание бюджетной обеспеченности</w:t>
            </w:r>
          </w:p>
        </w:tc>
        <w:tc>
          <w:tcPr>
            <w:tcW w:type="dxa" w:w="184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8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7539,1</w:t>
            </w:r>
          </w:p>
        </w:tc>
        <w:tc>
          <w:tcPr>
            <w:tcW w:type="dxa" w:w="170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0,0</w:t>
            </w:r>
          </w:p>
        </w:tc>
        <w:tc>
          <w:tcPr>
            <w:tcW w:type="dxa" w:w="212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3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7539,1</w:t>
            </w:r>
          </w:p>
        </w:tc>
        <w:tc>
          <w:tcPr>
            <w:tcW w:type="dxa" w:w="496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3B000000">
            <w:pPr>
              <w:rPr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C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84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3D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328,2</w:t>
            </w:r>
          </w:p>
        </w:tc>
        <w:tc>
          <w:tcPr>
            <w:tcW w:type="dxa" w:w="170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3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+59,2</w:t>
            </w:r>
          </w:p>
        </w:tc>
        <w:tc>
          <w:tcPr>
            <w:tcW w:type="dxa" w:w="212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3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387,4</w:t>
            </w:r>
          </w:p>
        </w:tc>
        <w:tc>
          <w:tcPr>
            <w:tcW w:type="dxa" w:w="496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0000000">
            <w:pPr>
              <w:ind/>
              <w:jc w:val="both"/>
              <w:rPr>
                <w:sz w:val="22"/>
              </w:rPr>
            </w:pPr>
            <w:r>
              <w:t xml:space="preserve">Увеличение </w:t>
            </w:r>
            <w:r>
              <w:t xml:space="preserve">субвенции на </w:t>
            </w:r>
            <w:r>
              <w:t xml:space="preserve">основании областного закона  </w:t>
            </w:r>
            <w:r>
              <w:t>от 14.12.2023 г.№58-ЗС</w:t>
            </w:r>
            <w:r>
              <w:t xml:space="preserve"> «Об областном бюджете на 2024 год и на плановый период 2025 и 2026 годов»</w:t>
            </w:r>
          </w:p>
        </w:tc>
      </w:tr>
      <w:tr>
        <w:tc>
          <w:tcPr>
            <w:tcW w:type="dxa" w:w="5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1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84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2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0,2</w:t>
            </w:r>
          </w:p>
        </w:tc>
        <w:tc>
          <w:tcPr>
            <w:tcW w:type="dxa" w:w="170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-</w:t>
            </w:r>
          </w:p>
        </w:tc>
        <w:tc>
          <w:tcPr>
            <w:tcW w:type="dxa" w:w="212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4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</w:t>
            </w:r>
            <w:r>
              <w:rPr>
                <w:b w:val="1"/>
              </w:rPr>
              <w:t>2</w:t>
            </w:r>
          </w:p>
        </w:tc>
        <w:tc>
          <w:tcPr>
            <w:tcW w:type="dxa" w:w="496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5000000">
            <w:pPr>
              <w:rPr>
                <w:b w:val="1"/>
                <w:sz w:val="22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РАСХОДЫ, всего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11857,0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+59,2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11916,2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Общегосударственные вопросы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5629,3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5629,3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</w:pP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both"/>
            </w:pPr>
          </w:p>
        </w:tc>
      </w:tr>
      <w:tr>
        <w:trPr>
          <w:trHeight w:hRule="atLeast" w:val="1116"/>
        </w:trP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</w:pPr>
            <w:r>
              <w:t>5321,0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</w:pPr>
            <w:r>
              <w:t>5321,0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both"/>
            </w:pPr>
            <w:r>
              <w:t>Другие общегосударственные вопросы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center"/>
            </w:pPr>
            <w:r>
              <w:t>308,3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/>
              <w:jc w:val="center"/>
            </w:pPr>
            <w:r>
              <w:t>308,3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Национальная оборона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328,2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+59,2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387,4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/>
              <w:jc w:val="both"/>
              <w:rPr>
                <w:color w:val="C0504D"/>
                <w:sz w:val="22"/>
              </w:rPr>
            </w:pPr>
            <w:r>
              <w:t xml:space="preserve">Увеличение </w:t>
            </w:r>
            <w:r>
              <w:t xml:space="preserve">субвенции на </w:t>
            </w:r>
            <w:r>
              <w:t xml:space="preserve">основании областного закона  </w:t>
            </w:r>
            <w:r>
              <w:t>от 14.12.2023 г.№58-ЗС</w:t>
            </w:r>
            <w:r>
              <w:t xml:space="preserve"> «Об областном бюджете на 2024 год и на плановый период 2025 и 2026 годов»</w:t>
            </w: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Национальная </w:t>
            </w:r>
            <w:r>
              <w:rPr>
                <w:b w:val="1"/>
              </w:rPr>
              <w:t>безопасность и правоохранительная деятельность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21,0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21,0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ind/>
              <w:jc w:val="both"/>
              <w:rPr>
                <w:b w:val="1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Жилищно-коммунальное хозяйство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900,0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900,0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center"/>
            </w:pP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both"/>
            </w:pPr>
            <w:r>
              <w:t>Реализация направления расходов в рамках подпрограммы "</w:t>
            </w:r>
            <w:r>
              <w:t>Б</w:t>
            </w:r>
            <w:r>
              <w:t>лагоустройство</w:t>
            </w:r>
            <w:r>
              <w:t xml:space="preserve"> территории </w:t>
            </w:r>
            <w:r>
              <w:t>"   муниципальной программы Натальевского сельского поселения  "</w:t>
            </w:r>
            <w:r>
              <w:t>Благоустройство территории Натальевского сельского поселения</w:t>
            </w:r>
            <w:r>
              <w:t>" (Иные закупки товаров, работ и услуг для государственных (муниципальных) нужд)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ind/>
              <w:jc w:val="center"/>
            </w:pPr>
            <w:r>
              <w:t>900,0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ind/>
              <w:jc w:val="center"/>
            </w:pPr>
            <w:r>
              <w:t>900,0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Образование </w:t>
            </w:r>
            <w:r>
              <w:t>(переподготовка и курсы пов</w:t>
            </w:r>
            <w:r>
              <w:t>ы</w:t>
            </w:r>
            <w:r>
              <w:t>шения квалификации)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</w:t>
            </w:r>
            <w:r>
              <w:rPr>
                <w:b w:val="1"/>
              </w:rPr>
              <w:t>0</w:t>
            </w:r>
            <w:r>
              <w:rPr>
                <w:b w:val="1"/>
              </w:rPr>
              <w:t>.0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Культура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4620,5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center"/>
              <w:rPr>
                <w:b w:val="1"/>
              </w:rPr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4620,5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/>
              <w:jc w:val="center"/>
            </w:pP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ind/>
              <w:jc w:val="both"/>
            </w:pPr>
            <w:r>
              <w:t>Расходы на обеспечение деятельности (оказания услуг) муниципальными бюджетными учреждениями Натальевского сельского поселения в рамках подпрограммы «Развитие культурно-досуговой деятельности в Натальевском сельском поселении» муниципальной программы «Развитие культуры в Натальевском сельском поселении»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ind/>
              <w:jc w:val="center"/>
            </w:pPr>
            <w:r>
              <w:t>4620,5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/>
              <w:jc w:val="center"/>
            </w:pPr>
            <w:r>
              <w:t>4620,5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Социальная политика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328,0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328,0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Физическая культура и спорт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  <w:r>
              <w:rPr>
                <w:b w:val="1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/>
              <w:jc w:val="center"/>
            </w:pPr>
            <w:r>
              <w:t>0</w:t>
            </w:r>
            <w:r>
              <w:t>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  <w:r>
              <w:rPr>
                <w:b w:val="1"/>
              </w:rPr>
              <w:t>0</w:t>
            </w:r>
            <w:r>
              <w:rPr>
                <w:b w:val="1"/>
              </w:rPr>
              <w:t>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Межбюджетные трансферты общего характера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/>
              <w:jc w:val="both"/>
            </w:pPr>
            <w:r>
              <w:t>Дефицит(-), профицит (+) бюджета поселения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/>
              <w:jc w:val="center"/>
            </w:pPr>
            <w:r>
              <w:t>-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/>
              <w:jc w:val="both"/>
            </w:pPr>
            <w:r>
              <w:t>Источники финансирования дефицита бюджета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/>
              <w:jc w:val="both"/>
            </w:pPr>
          </w:p>
        </w:tc>
      </w:tr>
      <w:tr>
        <w:tc>
          <w:tcPr>
            <w:tcW w:type="dxa" w:w="5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ind/>
              <w:jc w:val="both"/>
            </w:pPr>
            <w:r>
              <w:t>в т.ч. остатки средств бюджетов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/>
              <w:jc w:val="center"/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ind/>
              <w:jc w:val="both"/>
            </w:pPr>
          </w:p>
        </w:tc>
      </w:tr>
    </w:tbl>
    <w:p w14:paraId="AA000000"/>
    <w:sectPr>
      <w:pgSz w:h="11906" w:orient="landscape" w:w="16838"/>
      <w:pgMar w:bottom="284" w:footer="720" w:gutter="0" w:header="720" w:left="851" w:right="567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er"/>
    <w:basedOn w:val="Style_3"/>
    <w:link w:val="Style_6_ch"/>
    <w:pPr>
      <w:tabs>
        <w:tab w:leader="none" w:pos="4677" w:val="center"/>
        <w:tab w:leader="none" w:pos="9355" w:val="right"/>
      </w:tabs>
      <w:ind/>
    </w:pPr>
  </w:style>
  <w:style w:styleId="Style_6_ch" w:type="character">
    <w:name w:val="header"/>
    <w:basedOn w:val="Style_3_ch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ody Text 2"/>
    <w:basedOn w:val="Style_3"/>
    <w:link w:val="Style_10_ch"/>
    <w:pPr>
      <w:ind/>
      <w:jc w:val="both"/>
    </w:pPr>
    <w:rPr>
      <w:sz w:val="28"/>
    </w:rPr>
  </w:style>
  <w:style w:styleId="Style_10_ch" w:type="character">
    <w:name w:val="Body Text 2"/>
    <w:basedOn w:val="Style_3_ch"/>
    <w:link w:val="Style_10"/>
    <w:rPr>
      <w:sz w:val="28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2" w:type="paragraph">
    <w:name w:val="heading 1"/>
    <w:basedOn w:val="Style_3"/>
    <w:next w:val="Style_3"/>
    <w:link w:val="Style_2_ch"/>
    <w:uiPriority w:val="9"/>
    <w:qFormat/>
    <w:pPr>
      <w:keepNext w:val="1"/>
      <w:ind/>
      <w:jc w:val="both"/>
      <w:outlineLvl w:val="0"/>
    </w:pPr>
    <w:rPr>
      <w:b w:val="1"/>
    </w:rPr>
  </w:style>
  <w:style w:styleId="Style_2_ch" w:type="character">
    <w:name w:val="heading 1"/>
    <w:basedOn w:val="Style_3_ch"/>
    <w:link w:val="Style_2"/>
    <w:rPr>
      <w:b w:val="1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Balloon Text"/>
    <w:basedOn w:val="Style_3"/>
    <w:link w:val="Style_22_ch"/>
    <w:rPr>
      <w:rFonts w:ascii="Tahoma" w:hAnsi="Tahoma"/>
      <w:sz w:val="16"/>
    </w:rPr>
  </w:style>
  <w:style w:styleId="Style_22_ch" w:type="character">
    <w:name w:val="Balloon Text"/>
    <w:basedOn w:val="Style_3_ch"/>
    <w:link w:val="Style_22"/>
    <w:rPr>
      <w:rFonts w:ascii="Tahoma" w:hAnsi="Tahoma"/>
      <w:sz w:val="16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basedOn w:val="Style_3"/>
    <w:next w:val="Style_3"/>
    <w:link w:val="Style_25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5_ch" w:type="character">
    <w:name w:val="heading 2"/>
    <w:basedOn w:val="Style_3_ch"/>
    <w:link w:val="Style_25"/>
    <w:rPr>
      <w:rFonts w:ascii="Arial" w:hAnsi="Arial"/>
      <w:b w:val="1"/>
      <w:i w:val="1"/>
      <w:sz w:val="28"/>
    </w:rPr>
  </w:style>
  <w:style w:styleId="Style_26" w:type="paragraph">
    <w:name w:val="footer"/>
    <w:basedOn w:val="Style_3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footer"/>
    <w:basedOn w:val="Style_3_ch"/>
    <w:link w:val="Style_26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2023-12-21T06:39:43Z</dcterms:modified>
</cp:coreProperties>
</file>